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44.png" ContentType="image/png"/>
  <Override PartName="/word/media/rId50.png" ContentType="image/png"/>
  <Override PartName="/word/media/rId47.png" ContentType="image/png"/>
  <Override PartName="/word/media/rId4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prey</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lay-summary"/>
    <w:p>
      <w:pPr>
        <w:pStyle w:val="Heading1"/>
      </w:pPr>
      <w:r>
        <w:t xml:space="preserve">LAY SUMMARY</w:t>
      </w:r>
    </w:p>
    <w:p>
      <w:pPr>
        <w:pStyle w:val="FirstParagraph"/>
      </w:pPr>
      <w:r>
        <w:t xml:space="preserve">Predators acquire hunting expertise over successive encouters with their prey, allowing them to be more successful. Using a multiplayer videogame that simulates a predator-prey interaction, we show that the acquisition of predator expertise changes as a function of prey behaviour and skill. Our findings suggest that prey antipredator behaviour could mediate how predators learn and gain skills over time.</w:t>
      </w:r>
    </w:p>
    <w:p>
      <w:pPr>
        <w:pStyle w:val="BodyText"/>
      </w:pPr>
      <w:r>
        <w:rPr>
          <w:bCs/>
          <w:b/>
        </w:rPr>
        <w:t xml:space="preserve">to update</w:t>
      </w:r>
    </w:p>
    <w:p>
      <w:r>
        <w:br w:type="page"/>
      </w:r>
    </w:p>
    <w:bookmarkEnd w:id="20"/>
    <w:bookmarkStart w:id="21"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experience shapes population and individual hunting success in predators across repeated interactions with their prey.</w:t>
      </w:r>
    </w:p>
    <w:p>
      <w:pPr>
        <w:pStyle w:val="BodyText"/>
      </w:pPr>
      <w:r>
        <w:rPr>
          <w:bCs/>
          <w:b/>
        </w:rPr>
        <w:t xml:space="preserve">We observed that predators were less successful when hunting prey that were faster, occupied more space in the virtual environment, and possessed greater skill. As the prey gained skill, they also moved faster, suggesting an improvement in antipredator behaviour. However, prey movement behaviour did not mediate differences in expertise acquisition among individual predators. Our results suggest that skilled prey use behaviours such as fast movement to outmanoeuver their predators, thereby impacting how predators acquire expertise at the population level. The predator population should optimize prey consumption over repeated encounters with prey of average skill, and optimize their success sooner if they consistently encounter prey moving at average speeds.</w:t>
      </w:r>
    </w:p>
    <w:p>
      <w:pPr>
        <w:pStyle w:val="BodyText"/>
      </w:pPr>
      <w:r>
        <w:rPr>
          <w:bCs/>
          <w:b/>
        </w:rPr>
        <w:t xml:space="preserve">to update</w:t>
      </w:r>
    </w:p>
    <w:p>
      <w:pPr>
        <w:pStyle w:val="BodyText"/>
      </w:pPr>
      <w:r>
        <w:t xml:space="preserve">Keywords: predator-prey interactions, experience, learning, movement, virtual ecology, videogames</w:t>
      </w:r>
    </w:p>
    <w:p>
      <w:r>
        <w:br w:type="page"/>
      </w:r>
    </w:p>
    <w:bookmarkEnd w:id="21"/>
    <w:bookmarkStart w:id="22"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It is usually characterised by a gradual improvement in performance over time</w:t>
      </w:r>
      <w:r>
        <w:t xml:space="preserve"> </w:t>
      </w:r>
      <w:r>
        <w:t xml:space="preserve">(Dukas 2008; Rutz 2012; De Resende, Ottoni, and Fragaszy 2008)</w:t>
      </w:r>
      <w:r>
        <w:t xml:space="preserve">. Different mechanisms can be involded in the process of acquiring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For predators to become proficient hunters, they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antipredator tactics such as camouflage to avoid detection and rapid escapes to evade capture</w:t>
      </w:r>
      <w:r>
        <w:t xml:space="preserve"> </w:t>
      </w:r>
      <w:r>
        <w:t xml:space="preserve">(Walker et al. 2005; Kelley and Magurran 2011; Herbert-Read et al. 2017)</w:t>
      </w:r>
      <w:r>
        <w:t xml:space="preserve">. These strategies are hypothesized to drive differences in prey consumption among predators, by disrupting their capacity to acquire hunting expertise</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antipredator behaviour can also improve through continued exposure to predators</w:t>
      </w:r>
      <w:r>
        <w:t xml:space="preserve"> </w:t>
      </w:r>
      <w:r>
        <w:t xml:space="preserve">(Turner, Turner, and Lappi 2006; Kelley and Magurran 2011; Lönnstedt et al. 2012)</w:t>
      </w:r>
      <w:r>
        <w:t xml:space="preserve">. For instance, prey alter their activity patterns under increasing predation risk</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in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In</w:t>
      </w:r>
      <w:r>
        <w:t xml:space="preserve"> </w:t>
      </w:r>
      <w:r>
        <w:rPr>
          <w:iCs/>
          <w:i/>
        </w:rPr>
        <w:t xml:space="preserve">Dead by Daylight</w:t>
      </w:r>
      <w:r>
        <w:t xml:space="preserve">, a ranking system indicates whether prey are skilled when they successfully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Thus,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2"/>
    <w:bookmarkStart w:id="35" w:name="materials-and-methods"/>
    <w:p>
      <w:pPr>
        <w:pStyle w:val="Heading1"/>
      </w:pPr>
      <w:r>
        <w:t xml:space="preserve">MATERIALS AND METHODS</w:t>
      </w:r>
    </w:p>
    <w:bookmarkStart w:id="26"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3">
        <w:r>
          <w:rPr>
            <w:rStyle w:val="Hyperlink"/>
          </w:rPr>
          <w:t xml:space="preserve">https://deadbydaylight.fandom.com/wiki/Killers</w:t>
        </w:r>
      </w:hyperlink>
      <w:r>
        <w:t xml:space="preserve">. Details on the size and structure of the different virtual environments are available at</w:t>
      </w:r>
      <w:r>
        <w:t xml:space="preserve"> </w:t>
      </w:r>
      <w:hyperlink r:id="rId24">
        <w:r>
          <w:rPr>
            <w:rStyle w:val="Hyperlink"/>
          </w:rPr>
          <w:t xml:space="preserve">https://dbdmaps.com/</w:t>
        </w:r>
      </w:hyperlink>
      <w:r>
        <w:t xml:space="preserve"> </w:t>
      </w:r>
      <w:r>
        <w:t xml:space="preserve">and</w:t>
      </w:r>
      <w:r>
        <w:t xml:space="preserve"> </w:t>
      </w:r>
      <w:hyperlink r:id="rId25">
        <w:r>
          <w:rPr>
            <w:rStyle w:val="Hyperlink"/>
          </w:rPr>
          <w:t xml:space="preserve">https://deadbydaylight.fandom.com/wiki/Realms</w:t>
        </w:r>
      </w:hyperlink>
      <w:r>
        <w:t xml:space="preserve">.</w:t>
      </w:r>
    </w:p>
    <w:bookmarkEnd w:id="26"/>
    <w:bookmarkStart w:id="28"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w:t>
      </w:r>
      <w:hyperlink r:id="rId27">
        <w:r>
          <w:rPr>
            <w:rStyle w:val="Hyperlink"/>
          </w:rPr>
          <w:t xml:space="preserve">https://deadbydaylight.fandom.com/wiki/Rank</w:t>
        </w:r>
      </w:hyperlink>
      <w:r>
        <w:t xml:space="preserve">).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For a given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8"/>
    <w:bookmarkStart w:id="34" w:name="data-analyses"/>
    <w:p>
      <w:pPr>
        <w:pStyle w:val="Heading2"/>
      </w:pPr>
      <w:r>
        <w:t xml:space="preserve">Data analyses</w:t>
      </w:r>
    </w:p>
    <w:bookmarkStart w:id="29"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 following</w:t>
      </w:r>
      <w:r>
        <w:t xml:space="preserve"> </w:t>
      </w:r>
      <w:r>
        <w:t xml:space="preserve">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To test the hypothesis that prey behaviour shaped the acquisition of predator expertise, we fitted three different models (Table 1) that predicted the expected probability of capturing the four prey</w:t>
      </w:r>
      <w:r>
        <w:t xml:space="preserve"> </w:t>
      </w:r>
      <m:oMath>
        <m:sSub>
          <m:e>
            <m:r>
              <m:t>μ</m:t>
            </m:r>
          </m:e>
          <m:sub>
            <m:r>
              <m:t>i</m:t>
            </m:r>
          </m:sub>
        </m:sSub>
      </m:oMath>
      <w:r>
        <w:t xml:space="preserv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 a, b, and c, represent the asymptote (maximum hunting success), the initial value (initial success), and the rate of gain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and, in some models (Table 1), as a function of prey behaviour.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prey behaviour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w:t>
      </w:r>
      <w:r>
        <w:t xml:space="preserve"> </w:t>
      </w:r>
      <m:oMath>
        <m:sSub>
          <m:e>
            <m:r>
              <m:t>u</m:t>
            </m:r>
          </m:e>
          <m:sub>
            <m:r>
              <m:t>k</m:t>
            </m:r>
            <m:r>
              <m:rPr>
                <m:sty m:val="p"/>
              </m:rPr>
              <m:t>,</m:t>
            </m:r>
            <m:r>
              <m:t>j</m:t>
            </m:r>
          </m:sub>
        </m:sSub>
      </m:oMath>
      <w:r>
        <w:t xml:space="preserve"> </w:t>
      </w:r>
      <w:r>
        <w:t xml:space="preserve">is a predator-specific random intercept. The prey behaviours included in</w:t>
      </w:r>
      <w:r>
        <w:t xml:space="preserve"> </w:t>
      </w:r>
      <m:oMath>
        <m:r>
          <m:rPr>
            <m:sty m:val="b"/>
          </m:rPr>
          <m:t>W</m:t>
        </m:r>
      </m:oMath>
      <w:r>
        <w:t xml:space="preserve"> </w:t>
      </w:r>
      <w:r>
        <w:t xml:space="preserve">for each model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asymptotic parameters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p>
    <w:p>
      <w:pPr>
        <w:pStyle w:val="BodyText"/>
      </w:pPr>
      <w:r>
        <w:t xml:space="preserve">We defined informative priors for the asymptotic parameter’s intercepts to reflect biologically meaningful expectations. We centered the upper asymptote (a) at 1.39 (logit scale, corresponding to 80% success rate) with SD = 0.7, while the initial value (b) was centered at -1.10 (25% success rate) with SD = 0.7. We set a Normal(-5.5, 1) prior on the rate parameter (c), constraining it to plausible rates of improvement over the observed experience range. We used mildly informative priors for most effect sizes and variance components. The effects of prey speed and space use on parameters a and c 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At the individual level, we tested the hypothesis that antipredator behaviour generates differences among predators in expertise acquisition by 1) assessing the relationship between the parameter values of a, b, and c, and prey behaviour, and 2) by comparing the individual-level standard deviation parameters of a, b, and c. Specifically, we compared the posterior distributions of standard deviations for the random intercepts (i.e., mean differences among predators) among the three models for parameters a, b, and c (Figure 4). Lastly, we computed the widely applicable information criterion (WAIC) to obtain the expected pointwise density,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9"/>
    <w:bookmarkStart w:id="30"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linear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 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t xml:space="preserve">) and rate of space coverage (</w:t>
      </w:r>
      <m:oMath>
        <m:r>
          <m:t>N</m:t>
        </m:r>
        <m:d>
          <m:dPr>
            <m:begChr m:val="("/>
            <m:endChr m:val=")"/>
            <m:sepChr m:val=""/>
            <m:grow/>
          </m:dPr>
          <m:e>
            <m:r>
              <m:t>15</m:t>
            </m:r>
            <m:r>
              <m:rPr>
                <m:sty m:val="p"/>
              </m:rPr>
              <m:t>,</m:t>
            </m:r>
            <m:r>
              <m:t> </m:t>
            </m:r>
            <m:sSup>
              <m:e>
                <m:r>
                  <m:t>0.5</m:t>
                </m:r>
              </m:e>
              <m:sup>
                <m:r>
                  <m:t>2</m:t>
                </m:r>
              </m:sup>
            </m:sSup>
          </m:e>
        </m:d>
      </m:oMath>
      <w: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t xml:space="preserve">) in both models.</w:t>
      </w:r>
    </w:p>
    <w:bookmarkEnd w:id="30"/>
    <w:bookmarkStart w:id="33"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1">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32">
        <w:r>
          <w:rPr>
            <w:rStyle w:val="Hyperlink"/>
          </w:rPr>
          <w:t xml:space="preserve">https://github.com/quantitative-ecologist/predator-expertise</w:t>
        </w:r>
      </w:hyperlink>
      <w:r>
        <w:t xml:space="preserve">).</w:t>
      </w:r>
    </w:p>
    <w:bookmarkEnd w:id="33"/>
    <w:bookmarkEnd w:id="34"/>
    <w:bookmarkEnd w:id="35"/>
    <w:bookmarkStart w:id="54" w:name="results"/>
    <w:p>
      <w:pPr>
        <w:pStyle w:val="Heading1"/>
      </w:pPr>
      <w:r>
        <w:t xml:space="preserve">RESULTS</w:t>
      </w:r>
    </w:p>
    <w:bookmarkStart w:id="39"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title="" id="37" name="Picture"/>
            <a:graphic>
              <a:graphicData uri="http://schemas.openxmlformats.org/drawingml/2006/picture">
                <pic:pic>
                  <pic:nvPicPr>
                    <pic:cNvPr descr="C:/Users/User/Documents/GitHub/Chapter2/outputs/outputs_figures/figure1.png" id="38" name="Picture"/>
                    <pic:cNvPicPr>
                      <a:picLocks noChangeArrowheads="1" noChangeAspect="1"/>
                    </pic:cNvPicPr>
                  </pic:nvPicPr>
                  <pic:blipFill>
                    <a:blip r:embed="rId36"/>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BodyText"/>
      </w:pPr>
    </w:p>
    <w:bookmarkEnd w:id="39"/>
    <w:bookmarkStart w:id="43" w:name="prey-skill-and-antipredator-behaviour"/>
    <w:p>
      <w:pPr>
        <w:pStyle w:val="Heading2"/>
      </w:pPr>
      <w:r>
        <w:t xml:space="preserve">Prey skill and antipredator behaviour</w:t>
      </w:r>
    </w:p>
    <w:p>
      <w:pPr>
        <w:pStyle w:val="FirstParagraph"/>
      </w:pPr>
      <w:r>
        <w:t xml:space="preserve">Prey groups composed of individuals with greater skill moved faster than those composed of individuals with lower skill (Figure 2A). In contrast, there was no change in prey space coverage with increasing skill (Figure 2B).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pPr>
        <w:pStyle w:val="CaptionedFigure"/>
      </w:pPr>
      <w:r>
        <w:drawing>
          <wp:inline>
            <wp:extent cx="5943600" cy="2377440"/>
            <wp:effectExtent b="0" l="0" r="0" t="0"/>
            <wp:docPr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title="" id="41" name="Picture"/>
            <a:graphic>
              <a:graphicData uri="http://schemas.openxmlformats.org/drawingml/2006/picture">
                <pic:pic>
                  <pic:nvPicPr>
                    <pic:cNvPr descr="C:/Users/User/Documents/GitHub/Chapter2/outputs/outputs_figures/figure5.png" id="42"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2</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bookmarkEnd w:id="43"/>
    <w:bookmarkStart w:id="53"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pPr>
        <w:pStyle w:val="CaptionedFigure"/>
      </w:pPr>
      <w:r>
        <w:drawing>
          <wp:inline>
            <wp:extent cx="5943600" cy="4754880"/>
            <wp:effectExtent b="0" l="0" r="0" t="0"/>
            <wp:docPr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5" name="Picture"/>
            <a:graphic>
              <a:graphicData uri="http://schemas.openxmlformats.org/drawingml/2006/picture">
                <pic:pic>
                  <pic:nvPicPr>
                    <pic:cNvPr descr="C:/Users/User/Documents/GitHub/Chapter2/outputs/outputs_figures/figure2.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w:t>
      </w:r>
      <w:r>
        <w:t xml:space="preserve">.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pPr>
        <w:pStyle w:val="BodyText"/>
      </w:pPr>
      <w:r>
        <w:t xml:space="preserve">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48" name="Picture"/>
            <a:graphic>
              <a:graphicData uri="http://schemas.openxmlformats.org/drawingml/2006/picture">
                <pic:pic>
                  <pic:nvPicPr>
                    <pic:cNvPr descr="C:/Users/User/Documents/GitHub/Chapter2/outputs/outputs_figures/figure4.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4</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pPr>
        <w:pStyle w:val="BodyText"/>
      </w:pPr>
      <w:r>
        <w:t xml:space="preserve">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There was no apparent relationship between the rate of gain in expertise and the predator’s maximum hunting success (Figure 5).</w:t>
      </w:r>
    </w:p>
    <w:p>
      <w:pPr>
        <w:pStyle w:val="CaptionedFigure"/>
      </w:pPr>
      <w:r>
        <w:drawing>
          <wp:inline>
            <wp:extent cx="5943600" cy="1910442"/>
            <wp:effectExtent b="0" l="0" r="0" t="0"/>
            <wp:docPr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51" name="Picture"/>
            <a:graphic>
              <a:graphicData uri="http://schemas.openxmlformats.org/drawingml/2006/picture">
                <pic:pic>
                  <pic:nvPicPr>
                    <pic:cNvPr descr="C:/Users/User/Documents/GitHub/Chapter2/outputs/outputs_figures/figure3.png" id="52" name="Picture"/>
                    <pic:cNvPicPr>
                      <a:picLocks noChangeArrowheads="1" noChangeAspect="1"/>
                    </pic:cNvPicPr>
                  </pic:nvPicPr>
                  <pic:blipFill>
                    <a:blip r:embed="rId50"/>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5</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bookmarkEnd w:id="53"/>
    <w:bookmarkEnd w:id="54"/>
    <w:bookmarkStart w:id="56" w:name="discussion"/>
    <w:p>
      <w:pPr>
        <w:pStyle w:val="Heading1"/>
      </w:pPr>
      <w:r>
        <w:t xml:space="preserve">DISCUSSION</w:t>
      </w:r>
    </w:p>
    <w:p>
      <w:pPr>
        <w:pStyle w:val="FirstParagraph"/>
      </w:pPr>
      <w:r>
        <w:t xml:space="preserve">Using a virtual predator-prey system where we monitored the development of predator expertise (i.e. changes in hunting success across experience),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and gradually stabilized as experience accumulated. This pattern of expertise acquisition is consistent with empirical studies in both humans and nonhuman animals</w:t>
      </w:r>
      <w:r>
        <w:t xml:space="preserve"> </w:t>
      </w:r>
      <w:r>
        <w:t xml:space="preserve">(reviewed in Dukas 2019)</w:t>
      </w:r>
      <w:r>
        <w:t xml:space="preserve"> </w:t>
      </w:r>
      <w:r>
        <w:t xml:space="preserve">but provides additional information on how it may change given the difficulty of the task. For example, experienced predators could be more successful if they were not matched to highly skilled prey. Moreover, the population may have had a slower gain in expertise if the skill of the prey encountered was consistently higher. This is further supported by our results showing lower average hunting success against prey of greater skill (Figure S2).</w:t>
      </w:r>
    </w:p>
    <w:p>
      <w:pPr>
        <w:pStyle w:val="BodyText"/>
      </w:pPr>
      <w:r>
        <w:rPr>
          <w:bCs/>
          <w:b/>
        </w:rPr>
        <w:t xml:space="preserve">I’m at the third par: talk about the fact that observations suggest a potential nonlinear effect, but we kept it simple.</w:t>
      </w:r>
    </w:p>
    <w:p>
      <w:pPr>
        <w:pStyle w:val="BodyText"/>
      </w:pPr>
      <w:r>
        <w:t xml:space="preserve">Our findings suggest a marginal effect of prey behaviour in shaping expertise acquisition at the population level. While prey behaviour did not influence the rate of expertise acquisition, we found that the maximum hunting success was slightly lower in predators that mostly encountered faster prey.</w:t>
      </w:r>
      <w:r>
        <w:t xml:space="preserve"> </w:t>
      </w:r>
      <w:r>
        <w:rPr>
          <w:bCs/>
          <w:b/>
        </w:rPr>
        <w:t xml:space="preserve">However, the shape of the relatioships between prey behaviour and expertise acquisition suggest potential nonlinear effects that were not captured by our models.</w:t>
      </w:r>
      <w:r>
        <w:t xml:space="preserve"> </w:t>
      </w:r>
      <w:r>
        <w:t xml:space="preserve">We previously showed in</w:t>
      </w:r>
      <w:r>
        <w:t xml:space="preserve"> </w:t>
      </w:r>
      <w:r>
        <w:rPr>
          <w:iCs/>
          <w:i/>
        </w:rPr>
        <w:t xml:space="preserve">Dead by Daylight</w:t>
      </w:r>
      <w:r>
        <w:t xml:space="preserve"> </w:t>
      </w:r>
      <w:r>
        <w:t xml:space="preserve">that faster movement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skilful prey, suggesting that the effect of prey skill on the gain in expertise by predators was in part mediated by changes in prey behaviour following previous predator encounters</w:t>
      </w:r>
      <w:r>
        <w:t xml:space="preserve"> </w:t>
      </w:r>
      <w:r>
        <w:t xml:space="preserve">(Tetzlaff, Sperry, and DeGregorio 2019)</w:t>
      </w:r>
      <w:r>
        <w:t xml:space="preserve">. Different mechanisms may explain why faster prey were more difficult to hunt. For example, predators have limited attention spans that restrict diet choice and the formation of search images when they need to focus on hunting multiple prey simultaneously</w:t>
      </w:r>
      <w:r>
        <w:t xml:space="preserve"> </w:t>
      </w:r>
      <w:r>
        <w:t xml:space="preserve">(Dukas and Kamil 2001; Troscianko, Skelhorn, and Stevens 2018)</w:t>
      </w:r>
      <w:r>
        <w:t xml:space="preserve">. If the prey group was consistently moving faster in a coordinated fashion, then it would be difficult for predators to focus on a single prey while others progress on collecting resources, drawing them closer to winning the game</w:t>
      </w:r>
      <w:r>
        <w:t xml:space="preserve"> </w:t>
      </w:r>
      <w:r>
        <w:t xml:space="preserve">(Ioannou, Guttal, and Couzin 2012)</w:t>
      </w:r>
      <w:r>
        <w:t xml:space="preserve">. Rapid prey movements are often accompanied by unpredictability, which has been shown to hinder pursuit and increase the likelihood of predators abandoning the chase</w:t>
      </w:r>
      <w:r>
        <w:t xml:space="preserve"> </w:t>
      </w:r>
      <w:r>
        <w:t xml:space="preserve">(Herbert-Read et al. 2017; Richardson et al. 2018; Jones, Jackson, and Ruxton 2011)</w:t>
      </w:r>
      <w:r>
        <w:t xml:space="preserve">. Moreover, chasing faster prey demands specialized cognitive abilities and coordination that are energetically costly</w:t>
      </w:r>
      <w:r>
        <w:t xml:space="preserve"> </w:t>
      </w:r>
      <w:r>
        <w:t xml:space="preserve">(Kelley and Magurran 2011)</w:t>
      </w:r>
      <w:r>
        <w:t xml:space="preserve">. Hence, there may be neurological contraints in predators that limit their ability to hunt multiple fast moving prey simultaneously. Parallel observations have been outlined in studies of prey camouflage strategies. For example,</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by limiting search image formation. Hence, our analyses provide evidence that prey movement behaviour could mediate the acquisition of hunting expertise by limiting long term hunting success in predators.</w:t>
      </w:r>
    </w:p>
    <w:p>
      <w:pPr>
        <w:pStyle w:val="BodyText"/>
      </w:pPr>
      <w:r>
        <w:t xml:space="preserve">Our analyses also revealed important differences among individual predators in the acquisition of expertise, indicating that predators varied in their capacity to improve over time. However, neither prey speed nor prey space coverage influenced among-individual differences in expertise. The large individual variation in expertise acquisition emerged when we controlled for prey skill and persisted when we controlled for the prey’s behaviour, suggesting that it would be observed even if predators hunted prey of average speed or space coverage.</w:t>
      </w:r>
    </w:p>
    <w:p>
      <w:pPr>
        <w:pStyle w:val="BodyText"/>
      </w:pPr>
      <w:r>
        <w:t xml:space="preserve">This implies that other proximal or ecological factors may be at play.</w:t>
      </w:r>
    </w:p>
    <w:p>
      <w:pPr>
        <w:pStyle w:val="BodyText"/>
      </w:pPr>
      <w:r>
        <w:t xml:space="preserve">For example,</w:t>
      </w:r>
    </w:p>
    <w:p>
      <w:pPr>
        <w:pStyle w:val="BodyText"/>
      </w:pPr>
      <w:r>
        <w:t xml:space="preserve">…Longer time intervals between hunting events are also hypothesized to hinder or delay the acquisition of expertise due to information loss</w:t>
      </w:r>
      <w:r>
        <w:t xml:space="preserve"> </w:t>
      </w:r>
      <w:r>
        <w:t xml:space="preserve">(Endler 1991; Wright et al. 2022; Wooster et al. 2023)</w:t>
      </w:r>
      <w:r>
        <w:t xml:space="preserve">. For example, a predator who played 300 matches within six months might forget critical information related to prey detection or escape patterns compared to one who played 300 matches within six weeks. Alternatively, predators may also shape their own expertise via their hunting tactic. For example,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w:t>
      </w:r>
      <w:r>
        <w:t xml:space="preserve"> </w:t>
      </w:r>
      <w:r>
        <w:t xml:space="preserve">“</w:t>
      </w:r>
      <w:r>
        <w:t xml:space="preserve">true</w:t>
      </w:r>
      <w:r>
        <w:t xml:space="preserve">”</w:t>
      </w:r>
      <w:r>
        <w:t xml:space="preserve"> </w:t>
      </w:r>
      <w:r>
        <w:t xml:space="preserve">survival.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5" w:name="conclusions"/>
    <w:p>
      <w:pPr>
        <w:pStyle w:val="Heading2"/>
      </w:pPr>
      <w:r>
        <w:t xml:space="preserve">Conclusions</w:t>
      </w:r>
    </w:p>
    <w:p>
      <w:pPr>
        <w:pStyle w:val="FirstParagraph"/>
      </w:pPr>
      <w:r>
        <w:t xml:space="preserve">We found support for the hypothesis that prey antipredator behaviour can drive the acquisition of hunting expertise using a human predator population in the game</w:t>
      </w:r>
      <w:r>
        <w:t xml:space="preserve"> </w:t>
      </w:r>
      <w:r>
        <w:rPr>
          <w:iCs/>
          <w:i/>
        </w:rPr>
        <w:t xml:space="preserve">Dead by Daylight</w:t>
      </w:r>
      <w:r>
        <w:t xml:space="preserve">. However, the effect of antipredator behaviour was observed only at the population level. While there were important differences among individuals in expertise acquisition, we did not find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5"/>
    <w:bookmarkEnd w:id="56"/>
    <w:bookmarkStart w:id="57"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32">
        <w:r>
          <w:rPr>
            <w:rStyle w:val="Hyperlink"/>
          </w:rPr>
          <w:t xml:space="preserve">https://github.com/quantitative-ecologist/predator-expertise</w:t>
        </w:r>
      </w:hyperlink>
      <w:r>
        <w:t xml:space="preserve">.</w:t>
      </w:r>
    </w:p>
    <w:bookmarkEnd w:id="57"/>
    <w:bookmarkStart w:id="170" w:name="references"/>
    <w:p>
      <w:pPr>
        <w:pStyle w:val="Heading1"/>
      </w:pPr>
      <w:r>
        <w:t xml:space="preserve">REFERENCES</w:t>
      </w:r>
    </w:p>
    <w:bookmarkStart w:id="169" w:name="refs"/>
    <w:bookmarkStart w:id="59"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8">
        <w:r>
          <w:rPr>
            <w:rStyle w:val="Hyperlink"/>
          </w:rPr>
          <w:t xml:space="preserve">https://doi.org/10.1146/annurev.ecolsys.31.1.79</w:t>
        </w:r>
      </w:hyperlink>
      <w:r>
        <w:t xml:space="preserve">.</w:t>
      </w:r>
    </w:p>
    <w:bookmarkEnd w:id="59"/>
    <w:bookmarkStart w:id="61"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60">
        <w:r>
          <w:rPr>
            <w:rStyle w:val="Hyperlink"/>
          </w:rPr>
          <w:t xml:space="preserve">https://doi.org/10.1007/s00265-020-02833-0</w:t>
        </w:r>
      </w:hyperlink>
      <w:r>
        <w:t xml:space="preserve">.</w:t>
      </w:r>
    </w:p>
    <w:bookmarkEnd w:id="61"/>
    <w:bookmarkStart w:id="63"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2">
        <w:r>
          <w:rPr>
            <w:rStyle w:val="Hyperlink"/>
          </w:rPr>
          <w:t xml:space="preserve">https://doi.org/10.1098/rspb.2017.2146</w:t>
        </w:r>
      </w:hyperlink>
      <w:r>
        <w:t xml:space="preserve">.</w:t>
      </w:r>
    </w:p>
    <w:bookmarkEnd w:id="63"/>
    <w:bookmarkStart w:id="65"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4">
        <w:r>
          <w:rPr>
            <w:rStyle w:val="Hyperlink"/>
          </w:rPr>
          <w:t xml:space="preserve">https://doi.org/10.18637/jss.v080.i01</w:t>
        </w:r>
      </w:hyperlink>
      <w:r>
        <w:t xml:space="preserve">.</w:t>
      </w:r>
    </w:p>
    <w:bookmarkEnd w:id="65"/>
    <w:bookmarkStart w:id="67"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6">
        <w:r>
          <w:rPr>
            <w:rStyle w:val="Hyperlink"/>
          </w:rPr>
          <w:t xml:space="preserve">https://doi.org/10.1007/s00265-024-03463-6</w:t>
        </w:r>
      </w:hyperlink>
      <w:r>
        <w:t xml:space="preserve">.</w:t>
      </w:r>
    </w:p>
    <w:bookmarkEnd w:id="67"/>
    <w:bookmarkStart w:id="69"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8">
        <w:r>
          <w:rPr>
            <w:rStyle w:val="Hyperlink"/>
          </w:rPr>
          <w:t xml:space="preserve">https://doi.org/10.1016/j.anbehav.2021.06.010</w:t>
        </w:r>
      </w:hyperlink>
      <w:r>
        <w:t xml:space="preserve">.</w:t>
      </w:r>
    </w:p>
    <w:bookmarkEnd w:id="69"/>
    <w:bookmarkStart w:id="71"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70">
        <w:r>
          <w:rPr>
            <w:rStyle w:val="Hyperlink"/>
          </w:rPr>
          <w:t xml:space="preserve">https://doi.org/10.1037/xge0001710</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ioannou.etal2012"/>
    <w:p>
      <w:pPr>
        <w:pStyle w:val="Bibliography"/>
      </w:pPr>
      <w:r>
        <w:t xml:space="preserve">Ioannou, C. C., V. Guttal, and I. D. Couzin. 2012.</w:t>
      </w:r>
      <w:r>
        <w:t xml:space="preserve"> </w:t>
      </w:r>
      <w:r>
        <w:t xml:space="preserve">“Predatory Fish Select for Coordinated Collective Motion in Virtual Prey.”</w:t>
      </w:r>
      <w:r>
        <w:t xml:space="preserve"> </w:t>
      </w:r>
      <w:r>
        <w:rPr>
          <w:iCs/>
          <w:i/>
        </w:rPr>
        <w:t xml:space="preserve">Science</w:t>
      </w:r>
      <w:r>
        <w:t xml:space="preserve"> </w:t>
      </w:r>
      <w:r>
        <w:t xml:space="preserve">337 (6099): 1212–15.</w:t>
      </w:r>
      <w:r>
        <w:t xml:space="preserve"> </w:t>
      </w:r>
      <w:hyperlink r:id="rId94">
        <w:r>
          <w:rPr>
            <w:rStyle w:val="Hyperlink"/>
          </w:rPr>
          <w:t xml:space="preserve">https://doi.org/10.1126/science.1218919</w:t>
        </w:r>
      </w:hyperlink>
      <w:r>
        <w:t xml:space="preserve">.</w:t>
      </w:r>
    </w:p>
    <w:bookmarkEnd w:id="95"/>
    <w:bookmarkStart w:id="97" w:name="ref-jones2011"/>
    <w:p>
      <w:pPr>
        <w:pStyle w:val="Bibliography"/>
      </w:pPr>
      <w:r>
        <w:t xml:space="preserve">Jones, Katherine A., Andrew L. Jackson, and Graeme D. Ruxton. 2011.</w:t>
      </w:r>
      <w:r>
        <w:t xml:space="preserve"> </w:t>
      </w:r>
      <w:r>
        <w:t xml:space="preserve">“Prey</w:t>
      </w:r>
      <w:r>
        <w:t xml:space="preserve"> </w:t>
      </w:r>
      <w:r>
        <w:t xml:space="preserve">Jitters</w:t>
      </w:r>
      <w:r>
        <w:t xml:space="preserve">;</w:t>
      </w:r>
      <w:r>
        <w:t xml:space="preserve"> </w:t>
      </w:r>
      <w:r>
        <w:t xml:space="preserve">Protean Behaviour</w:t>
      </w:r>
      <w:r>
        <w:t xml:space="preserve"> </w:t>
      </w:r>
      <w:r>
        <w:t xml:space="preserve">in</w:t>
      </w:r>
      <w:r>
        <w:t xml:space="preserve"> </w:t>
      </w:r>
      <w:r>
        <w:t xml:space="preserve">Grouped Prey</w:t>
      </w:r>
      <w:r>
        <w:t xml:space="preserve">.”</w:t>
      </w:r>
      <w:r>
        <w:t xml:space="preserve"> </w:t>
      </w:r>
      <w:r>
        <w:rPr>
          <w:iCs/>
          <w:i/>
        </w:rPr>
        <w:t xml:space="preserve">Behavioral Ecology</w:t>
      </w:r>
      <w:r>
        <w:t xml:space="preserve"> </w:t>
      </w:r>
      <w:r>
        <w:t xml:space="preserve">22 (4): 831–36.</w:t>
      </w:r>
      <w:r>
        <w:t xml:space="preserve"> </w:t>
      </w:r>
      <w:hyperlink r:id="rId96">
        <w:r>
          <w:rPr>
            <w:rStyle w:val="Hyperlink"/>
          </w:rPr>
          <w:t xml:space="preserve">https://doi.org/10.1093/beheco/arr062</w:t>
        </w:r>
      </w:hyperlink>
      <w:r>
        <w:t xml:space="preserve">.</w:t>
      </w:r>
    </w:p>
    <w:bookmarkEnd w:id="97"/>
    <w:bookmarkStart w:id="99"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8">
        <w:r>
          <w:rPr>
            <w:rStyle w:val="Hyperlink"/>
          </w:rPr>
          <w:t xml:space="preserve">https://doi.org/10.1098/rspb.2017.2182</w:t>
        </w:r>
      </w:hyperlink>
      <w:r>
        <w:t xml:space="preserve">.</w:t>
      </w:r>
    </w:p>
    <w:bookmarkEnd w:id="99"/>
    <w:bookmarkStart w:id="101"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100">
        <w:r>
          <w:rPr>
            <w:rStyle w:val="Hyperlink"/>
          </w:rPr>
          <w:t xml:space="preserve">https://doi.org/10.1002/9781444342536.ch3</w:t>
        </w:r>
      </w:hyperlink>
      <w:r>
        <w:t xml:space="preserve">.</w:t>
      </w:r>
    </w:p>
    <w:bookmarkEnd w:id="101"/>
    <w:bookmarkStart w:id="103"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102">
        <w:r>
          <w:rPr>
            <w:rStyle w:val="Hyperlink"/>
          </w:rPr>
          <w:t xml:space="preserve">https://doi.org/10.1086/724491</w:t>
        </w:r>
      </w:hyperlink>
      <w:r>
        <w:t xml:space="preserve">.</w:t>
      </w:r>
    </w:p>
    <w:bookmarkEnd w:id="103"/>
    <w:bookmarkStart w:id="105"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4">
        <w:r>
          <w:rPr>
            <w:rStyle w:val="Hyperlink"/>
          </w:rPr>
          <w:t xml:space="preserve">https://doi.org/10.1111/j.1365-2435.2009.01631.x</w:t>
        </w:r>
      </w:hyperlink>
      <w:r>
        <w:t xml:space="preserve">.</w:t>
      </w:r>
    </w:p>
    <w:bookmarkEnd w:id="105"/>
    <w:bookmarkStart w:id="107"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6">
        <w:r>
          <w:rPr>
            <w:rStyle w:val="Hyperlink"/>
          </w:rPr>
          <w:t xml:space="preserve">https://doi.org/10.1016/j.tree.2024.07.001</w:t>
        </w:r>
      </w:hyperlink>
      <w:r>
        <w:t xml:space="preserve">.</w:t>
      </w:r>
    </w:p>
    <w:bookmarkEnd w:id="107"/>
    <w:bookmarkStart w:id="109"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8">
        <w:r>
          <w:rPr>
            <w:rStyle w:val="Hyperlink"/>
          </w:rPr>
          <w:t xml:space="preserve">https://doi.org/10.1098/rspb.2011.2516</w:t>
        </w:r>
      </w:hyperlink>
      <w:r>
        <w:t xml:space="preserve">.</w:t>
      </w:r>
    </w:p>
    <w:bookmarkEnd w:id="109"/>
    <w:bookmarkStart w:id="111"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10">
        <w:r>
          <w:rPr>
            <w:rStyle w:val="Hyperlink"/>
          </w:rPr>
          <w:t xml:space="preserve">https://doi.org/10.1073/pnas.2217973120</w:t>
        </w:r>
      </w:hyperlink>
      <w:r>
        <w:t xml:space="preserve">.</w:t>
      </w:r>
    </w:p>
    <w:bookmarkEnd w:id="111"/>
    <w:bookmarkStart w:id="113"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12">
        <w:r>
          <w:rPr>
            <w:rStyle w:val="Hyperlink"/>
          </w:rPr>
          <w:t xml:space="preserve">https://doi.org/10.1007/s12110-007-9019-8</w:t>
        </w:r>
      </w:hyperlink>
      <w:r>
        <w:t xml:space="preserve">.</w:t>
      </w:r>
    </w:p>
    <w:bookmarkEnd w:id="113"/>
    <w:bookmarkStart w:id="115"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4">
        <w:r>
          <w:rPr>
            <w:rStyle w:val="Hyperlink"/>
          </w:rPr>
          <w:t xml:space="preserve">https://doi.org/10.1111/oik.08143</w:t>
        </w:r>
      </w:hyperlink>
      <w:r>
        <w:t xml:space="preserve">.</w:t>
      </w:r>
    </w:p>
    <w:bookmarkEnd w:id="115"/>
    <w:bookmarkStart w:id="117"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6">
        <w:r>
          <w:rPr>
            <w:rStyle w:val="Hyperlink"/>
          </w:rPr>
          <w:t xml:space="preserve">https://doi.org/10.1016/j.tree.2025.02.003</w:t>
        </w:r>
      </w:hyperlink>
      <w:r>
        <w:t xml:space="preserve">.</w:t>
      </w:r>
    </w:p>
    <w:bookmarkEnd w:id="117"/>
    <w:bookmarkStart w:id="119"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18">
        <w:r>
          <w:rPr>
            <w:rStyle w:val="Hyperlink"/>
          </w:rPr>
          <w:t xml:space="preserve">https://doi.org/10.1006/anbe.2000.1546</w:t>
        </w:r>
      </w:hyperlink>
      <w:r>
        <w:t xml:space="preserve">.</w:t>
      </w:r>
    </w:p>
    <w:bookmarkEnd w:id="119"/>
    <w:bookmarkStart w:id="121"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20">
        <w:r>
          <w:rPr>
            <w:rStyle w:val="Hyperlink"/>
          </w:rPr>
          <w:t xml:space="preserve">https://doi.org/10.1016/bs.aecr.2015.01.001</w:t>
        </w:r>
      </w:hyperlink>
      <w:r>
        <w:t xml:space="preserve">.</w:t>
      </w:r>
    </w:p>
    <w:bookmarkEnd w:id="121"/>
    <w:bookmarkStart w:id="123"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22">
        <w:r>
          <w:rPr>
            <w:rStyle w:val="Hyperlink"/>
          </w:rPr>
          <w:t xml:space="preserve">https://doi.org/10.1007/s11222-016-9649-y</w:t>
        </w:r>
      </w:hyperlink>
      <w:r>
        <w:t xml:space="preserve">.</w:t>
      </w:r>
    </w:p>
    <w:bookmarkEnd w:id="123"/>
    <w:bookmarkStart w:id="125"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4">
        <w:r>
          <w:rPr>
            <w:rStyle w:val="Hyperlink"/>
          </w:rPr>
          <w:t xml:space="preserve">https://doi.org/10.1890/07-1580.1</w:t>
        </w:r>
      </w:hyperlink>
      <w:r>
        <w:t xml:space="preserve">.</w:t>
      </w:r>
    </w:p>
    <w:bookmarkEnd w:id="125"/>
    <w:bookmarkStart w:id="127"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26">
        <w:r>
          <w:rPr>
            <w:rStyle w:val="Hyperlink"/>
          </w:rPr>
          <w:t xml:space="preserve">https://doi.org/10.1163/000579509X12512871386137</w:t>
        </w:r>
      </w:hyperlink>
      <w:r>
        <w:t xml:space="preserve">.</w:t>
      </w:r>
    </w:p>
    <w:bookmarkEnd w:id="127"/>
    <w:bookmarkStart w:id="129" w:name="ref-richardson2018"/>
    <w:p>
      <w:pPr>
        <w:pStyle w:val="Bibliography"/>
      </w:pPr>
      <w:r>
        <w:t xml:space="preserve">Richardson, Graham, Patrick Dickinson, Oliver H. P. Burman, and Thomas W. Pike. 2018.</w:t>
      </w:r>
      <w:r>
        <w:t xml:space="preserve"> </w:t>
      </w:r>
      <w:r>
        <w:t xml:space="preserve">“Unpredictable Movement as an Anti-Predator Strategy.”</w:t>
      </w:r>
      <w:r>
        <w:t xml:space="preserve"> </w:t>
      </w:r>
      <w:r>
        <w:rPr>
          <w:iCs/>
          <w:i/>
        </w:rPr>
        <w:t xml:space="preserve">Proceedings of the Royal Society B: Biological Sciences</w:t>
      </w:r>
      <w:r>
        <w:t xml:space="preserve"> </w:t>
      </w:r>
      <w:r>
        <w:t xml:space="preserve">285 (1885): 20181112.</w:t>
      </w:r>
      <w:r>
        <w:t xml:space="preserve"> </w:t>
      </w:r>
      <w:hyperlink r:id="rId128">
        <w:r>
          <w:rPr>
            <w:rStyle w:val="Hyperlink"/>
          </w:rPr>
          <w:t xml:space="preserve">https://doi.org/10.1098/rspb.2018.1112</w:t>
        </w:r>
      </w:hyperlink>
      <w:r>
        <w:t xml:space="preserve">.</w:t>
      </w:r>
    </w:p>
    <w:bookmarkEnd w:id="129"/>
    <w:bookmarkStart w:id="131"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30">
        <w:r>
          <w:rPr>
            <w:rStyle w:val="Hyperlink"/>
          </w:rPr>
          <w:t xml:space="preserve">https://doi.org/10.1126/science.1241484</w:t>
        </w:r>
      </w:hyperlink>
      <w:r>
        <w:t xml:space="preserve">.</w:t>
      </w:r>
    </w:p>
    <w:bookmarkEnd w:id="131"/>
    <w:bookmarkStart w:id="133"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32">
        <w:r>
          <w:rPr>
            <w:rStyle w:val="Hyperlink"/>
          </w:rPr>
          <w:t xml:space="preserve">https://doi.org/10.1016/j.cub.2012.03.028</w:t>
        </w:r>
      </w:hyperlink>
      <w:r>
        <w:t xml:space="preserve">.</w:t>
      </w:r>
    </w:p>
    <w:bookmarkEnd w:id="133"/>
    <w:bookmarkStart w:id="135"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34">
        <w:r>
          <w:rPr>
            <w:rStyle w:val="Hyperlink"/>
          </w:rPr>
          <w:t xml:space="preserve">https://doi.org/10.1093/jeb/voae055</w:t>
        </w:r>
      </w:hyperlink>
      <w:r>
        <w:t xml:space="preserve">.</w:t>
      </w:r>
    </w:p>
    <w:bookmarkEnd w:id="135"/>
    <w:bookmarkStart w:id="137"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36">
        <w:r>
          <w:rPr>
            <w:rStyle w:val="Hyperlink"/>
          </w:rPr>
          <w:t xml:space="preserve">https://doi.org/10.12688/f1000research.11813.1</w:t>
        </w:r>
      </w:hyperlink>
      <w:r>
        <w:t xml:space="preserve">.</w:t>
      </w:r>
    </w:p>
    <w:bookmarkEnd w:id="137"/>
    <w:bookmarkStart w:id="139"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38">
        <w:r>
          <w:rPr>
            <w:rStyle w:val="Hyperlink"/>
          </w:rPr>
          <w:t xml:space="preserve">https://doi.org/10.1098/rspb.2015.2890</w:t>
        </w:r>
      </w:hyperlink>
      <w:r>
        <w:t xml:space="preserve">.</w:t>
      </w:r>
    </w:p>
    <w:bookmarkEnd w:id="139"/>
    <w:bookmarkStart w:id="140"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40"/>
    <w:bookmarkStart w:id="142"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41">
        <w:r>
          <w:rPr>
            <w:rStyle w:val="Hyperlink"/>
          </w:rPr>
          <w:t xml:space="preserve">https://doi.org/10.1093/beheco/ars156</w:t>
        </w:r>
      </w:hyperlink>
      <w:r>
        <w:t xml:space="preserve">.</w:t>
      </w:r>
    </w:p>
    <w:bookmarkEnd w:id="142"/>
    <w:bookmarkStart w:id="144"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43">
        <w:r>
          <w:rPr>
            <w:rStyle w:val="Hyperlink"/>
          </w:rPr>
          <w:t xml:space="preserve">https://doi.org/10.1016/j.biocon.2019.05.054</w:t>
        </w:r>
      </w:hyperlink>
      <w:r>
        <w:t xml:space="preserve">.</w:t>
      </w:r>
    </w:p>
    <w:bookmarkEnd w:id="144"/>
    <w:bookmarkStart w:id="146"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45">
        <w:r>
          <w:rPr>
            <w:rStyle w:val="Hyperlink"/>
          </w:rPr>
          <w:t xml:space="preserve">https://doi.org/10.1371/journal.pone.0073733</w:t>
        </w:r>
      </w:hyperlink>
      <w:r>
        <w:t xml:space="preserve">.</w:t>
      </w:r>
    </w:p>
    <w:bookmarkEnd w:id="146"/>
    <w:bookmarkStart w:id="148"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47">
        <w:r>
          <w:rPr>
            <w:rStyle w:val="Hyperlink"/>
          </w:rPr>
          <w:t xml:space="preserve">https://doi.org/10.1098/rspb.2018.1386</w:t>
        </w:r>
      </w:hyperlink>
      <w:r>
        <w:t xml:space="preserve">.</w:t>
      </w:r>
    </w:p>
    <w:bookmarkEnd w:id="148"/>
    <w:bookmarkStart w:id="150"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49">
        <w:r>
          <w:rPr>
            <w:rStyle w:val="Hyperlink"/>
          </w:rPr>
          <w:t xml:space="preserve">https://doi.org/10.1016/j.anbehav.2006.05.010</w:t>
        </w:r>
      </w:hyperlink>
      <w:r>
        <w:t xml:space="preserve">.</w:t>
      </w:r>
    </w:p>
    <w:bookmarkEnd w:id="150"/>
    <w:bookmarkStart w:id="152"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51">
        <w:r>
          <w:rPr>
            <w:rStyle w:val="Hyperlink"/>
          </w:rPr>
          <w:t xml:space="preserve">https://doi.org/10.1007/s11222-016-9696-4</w:t>
        </w:r>
      </w:hyperlink>
      <w:r>
        <w:t xml:space="preserve">.</w:t>
      </w:r>
    </w:p>
    <w:bookmarkEnd w:id="152"/>
    <w:bookmarkStart w:id="154"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53">
        <w:r>
          <w:rPr>
            <w:rStyle w:val="Hyperlink"/>
          </w:rPr>
          <w:t xml:space="preserve">https://doi.org/10.1214/20-BA1221</w:t>
        </w:r>
      </w:hyperlink>
      <w:r>
        <w:t xml:space="preserve">.</w:t>
      </w:r>
    </w:p>
    <w:bookmarkEnd w:id="154"/>
    <w:bookmarkStart w:id="156"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55">
        <w:r>
          <w:rPr>
            <w:rStyle w:val="Hyperlink"/>
          </w:rPr>
          <w:t xml:space="preserve">https://doi.org/10.1111/j.1365-2435.2005.01033.x</w:t>
        </w:r>
      </w:hyperlink>
      <w:r>
        <w:t xml:space="preserve">.</w:t>
      </w:r>
    </w:p>
    <w:bookmarkEnd w:id="156"/>
    <w:bookmarkStart w:id="158"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57">
        <w:r>
          <w:rPr>
            <w:rStyle w:val="Hyperlink"/>
          </w:rPr>
          <w:t xml:space="preserve">http://jmlr.org/papers/v11/watanabe10a.html</w:t>
        </w:r>
      </w:hyperlink>
      <w:r>
        <w:t xml:space="preserve">.</w:t>
      </w:r>
    </w:p>
    <w:bookmarkEnd w:id="158"/>
    <w:bookmarkStart w:id="160"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59">
        <w:r>
          <w:rPr>
            <w:rStyle w:val="Hyperlink"/>
          </w:rPr>
          <w:t xml:space="preserve">https://doi.org/10.1007/s00265-014-1861-1</w:t>
        </w:r>
      </w:hyperlink>
      <w:r>
        <w:t xml:space="preserve">.</w:t>
      </w:r>
    </w:p>
    <w:bookmarkEnd w:id="160"/>
    <w:bookmarkStart w:id="162"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61">
        <w:r>
          <w:rPr>
            <w:rStyle w:val="Hyperlink"/>
          </w:rPr>
          <w:t xml:space="preserve">https://doi.org/10.1111/ele.13614</w:t>
        </w:r>
      </w:hyperlink>
      <w:r>
        <w:t xml:space="preserve">.</w:t>
      </w:r>
    </w:p>
    <w:bookmarkEnd w:id="162"/>
    <w:bookmarkStart w:id="164"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63">
        <w:r>
          <w:rPr>
            <w:rStyle w:val="Hyperlink"/>
          </w:rPr>
          <w:t xml:space="preserve">https://doi.org/10.1111/j.1365-2656.2008.01429.x</w:t>
        </w:r>
      </w:hyperlink>
      <w:r>
        <w:t xml:space="preserve">.</w:t>
      </w:r>
    </w:p>
    <w:bookmarkEnd w:id="164"/>
    <w:bookmarkStart w:id="166"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65">
        <w:r>
          <w:rPr>
            <w:rStyle w:val="Hyperlink"/>
          </w:rPr>
          <w:t xml:space="preserve">https://doi.org/10.1016/j.tree.2023.09.012</w:t>
        </w:r>
      </w:hyperlink>
      <w:r>
        <w:t xml:space="preserve">.</w:t>
      </w:r>
    </w:p>
    <w:bookmarkEnd w:id="166"/>
    <w:bookmarkStart w:id="168"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67">
        <w:r>
          <w:rPr>
            <w:rStyle w:val="Hyperlink"/>
          </w:rPr>
          <w:t xml:space="preserve">https://doi.org/10.1111/brv.12879</w:t>
        </w:r>
      </w:hyperlink>
      <w:r>
        <w:t xml:space="preserve">.</w:t>
      </w:r>
    </w:p>
    <w:bookmarkEnd w:id="168"/>
    <w:bookmarkEnd w:id="169"/>
    <w:bookmarkEnd w:id="170"/>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0" Target="media/rId40.png" /><Relationship Type="http://schemas.openxmlformats.org/officeDocument/2006/relationships/hyperlink" Id="rId157"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18" Target="https://doi.org/10.1006/anbe.2000.1546" TargetMode="External" /><Relationship Type="http://schemas.openxmlformats.org/officeDocument/2006/relationships/hyperlink" Id="rId159"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2" Target="https://doi.org/10.1007/s11222-016-9649-y" TargetMode="External" /><Relationship Type="http://schemas.openxmlformats.org/officeDocument/2006/relationships/hyperlink" Id="rId151"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0" Target="https://doi.org/10.1016/bs.aecr.2015.01.001" TargetMode="External" /><Relationship Type="http://schemas.openxmlformats.org/officeDocument/2006/relationships/hyperlink" Id="rId149"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43" Target="https://doi.org/10.1016/j.biocon.2019.05.054" TargetMode="External" /><Relationship Type="http://schemas.openxmlformats.org/officeDocument/2006/relationships/hyperlink" Id="rId132" Target="https://doi.org/10.1016/j.cub.2012.03.028" TargetMode="External" /><Relationship Type="http://schemas.openxmlformats.org/officeDocument/2006/relationships/hyperlink" Id="rId165"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1" Target="https://doi.org/10.1093/beheco/ars156" TargetMode="External" /><Relationship Type="http://schemas.openxmlformats.org/officeDocument/2006/relationships/hyperlink" Id="rId134"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38"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28" Target="https://doi.org/10.1098/rspb.2018.1112" TargetMode="External" /><Relationship Type="http://schemas.openxmlformats.org/officeDocument/2006/relationships/hyperlink" Id="rId147"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7" Target="https://doi.org/10.1111/brv.12879" TargetMode="External" /><Relationship Type="http://schemas.openxmlformats.org/officeDocument/2006/relationships/hyperlink" Id="rId161" Target="https://doi.org/10.1111/ele.13614" TargetMode="External" /><Relationship Type="http://schemas.openxmlformats.org/officeDocument/2006/relationships/hyperlink" Id="rId155"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3"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0"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6" Target="https://doi.org/10.1163/000579509X12512871386137" TargetMode="External" /><Relationship Type="http://schemas.openxmlformats.org/officeDocument/2006/relationships/hyperlink" Id="rId153"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6" Target="https://doi.org/10.12688/f1000research.11813.1" TargetMode="External" /><Relationship Type="http://schemas.openxmlformats.org/officeDocument/2006/relationships/hyperlink" Id="rId145"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4" Target="https://doi.org/10.1890/07-1580.1" TargetMode="External" /><Relationship Type="http://schemas.openxmlformats.org/officeDocument/2006/relationships/hyperlink" Id="rId32"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57"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18" Target="https://doi.org/10.1006/anbe.2000.1546" TargetMode="External" /><Relationship Type="http://schemas.openxmlformats.org/officeDocument/2006/relationships/hyperlink" Id="rId159"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2" Target="https://doi.org/10.1007/s11222-016-9649-y" TargetMode="External" /><Relationship Type="http://schemas.openxmlformats.org/officeDocument/2006/relationships/hyperlink" Id="rId151"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0" Target="https://doi.org/10.1016/bs.aecr.2015.01.001" TargetMode="External" /><Relationship Type="http://schemas.openxmlformats.org/officeDocument/2006/relationships/hyperlink" Id="rId149"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43" Target="https://doi.org/10.1016/j.biocon.2019.05.054" TargetMode="External" /><Relationship Type="http://schemas.openxmlformats.org/officeDocument/2006/relationships/hyperlink" Id="rId132" Target="https://doi.org/10.1016/j.cub.2012.03.028" TargetMode="External" /><Relationship Type="http://schemas.openxmlformats.org/officeDocument/2006/relationships/hyperlink" Id="rId165"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1" Target="https://doi.org/10.1093/beheco/ars156" TargetMode="External" /><Relationship Type="http://schemas.openxmlformats.org/officeDocument/2006/relationships/hyperlink" Id="rId134"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38"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28" Target="https://doi.org/10.1098/rspb.2018.1112" TargetMode="External" /><Relationship Type="http://schemas.openxmlformats.org/officeDocument/2006/relationships/hyperlink" Id="rId147"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7" Target="https://doi.org/10.1111/brv.12879" TargetMode="External" /><Relationship Type="http://schemas.openxmlformats.org/officeDocument/2006/relationships/hyperlink" Id="rId161" Target="https://doi.org/10.1111/ele.13614" TargetMode="External" /><Relationship Type="http://schemas.openxmlformats.org/officeDocument/2006/relationships/hyperlink" Id="rId155"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3"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0"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6" Target="https://doi.org/10.1163/000579509X12512871386137" TargetMode="External" /><Relationship Type="http://schemas.openxmlformats.org/officeDocument/2006/relationships/hyperlink" Id="rId153"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6" Target="https://doi.org/10.12688/f1000research.11813.1" TargetMode="External" /><Relationship Type="http://schemas.openxmlformats.org/officeDocument/2006/relationships/hyperlink" Id="rId145"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4" Target="https://doi.org/10.1890/07-1580.1" TargetMode="External" /><Relationship Type="http://schemas.openxmlformats.org/officeDocument/2006/relationships/hyperlink" Id="rId32"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dcterms:created xsi:type="dcterms:W3CDTF">2026-02-18T03:36:27Z</dcterms:created>
  <dcterms:modified xsi:type="dcterms:W3CDTF">2026-02-18T03:36:27Z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